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Architects Daughter" w:cs="Architects Daughter" w:eastAsia="Architects Daughter" w:hAnsi="Architects Daughter"/>
          <w:b w:val="1"/>
          <w:color w:val="434343"/>
          <w:sz w:val="42"/>
          <w:szCs w:val="42"/>
          <w:highlight w:val="whit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434343"/>
          <w:sz w:val="42"/>
          <w:szCs w:val="42"/>
          <w:highlight w:val="white"/>
          <w:rtl w:val="0"/>
        </w:rPr>
        <w:t xml:space="preserve"> My Journey to Fertility Awareness and its Importance in the Prolife Movement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240" w:before="240" w:line="240" w:lineRule="auto"/>
        <w:ind w:left="720" w:right="-126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434343"/>
          <w:sz w:val="32"/>
          <w:szCs w:val="32"/>
          <w:rtl w:val="0"/>
        </w:rPr>
        <w:t xml:space="preserve">Our Bodies tell God’s Story </w:t>
      </w: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                 by Christopher West                     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-540" w:right="-1080" w:firstLine="0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434343"/>
          <w:sz w:val="32"/>
          <w:szCs w:val="32"/>
          <w:rtl w:val="0"/>
        </w:rPr>
        <w:t xml:space="preserve">Pure Intimacy </w:t>
      </w: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                                      by Jason Evert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="240" w:lineRule="auto"/>
        <w:ind w:left="72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434343"/>
          <w:sz w:val="32"/>
          <w:szCs w:val="32"/>
          <w:rtl w:val="0"/>
        </w:rPr>
        <w:t xml:space="preserve">Humanae Vitae (Of Human Life)</w:t>
      </w: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            by Pope Paul VI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Marquettefertiltiyed.com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240" w:before="240" w:line="240" w:lineRule="auto"/>
        <w:ind w:left="72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Guiding Star                                       guidingstarproject.com                                  </w:t>
        <w:tab/>
        <w:t xml:space="preserve">              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The Wonder of Eve                             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434343"/>
            <w:sz w:val="32"/>
            <w:szCs w:val="32"/>
            <w:u w:val="single"/>
            <w:rtl w:val="0"/>
          </w:rPr>
          <w:t xml:space="preserve">stlnfp@archstl.org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omic Sans MS" w:cs="Comic Sans MS" w:eastAsia="Comic Sans MS" w:hAnsi="Comic Sans MS"/>
          <w:color w:val="434343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Theology of the Body: A Protestant Perspective-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Comic Sans MS" w:cs="Comic Sans MS" w:eastAsia="Comic Sans MS" w:hAnsi="Comic Sans MS"/>
          <w:color w:val="434343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color w:val="434343"/>
          <w:sz w:val="32"/>
          <w:szCs w:val="32"/>
          <w:rtl w:val="0"/>
        </w:rPr>
        <w:t xml:space="preserve">        YouTube,  Glenn Stanton from Focus on the Family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lnfp@archst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